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0</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3</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rPr>
          <w:rFonts w:hint="eastAsia"/>
          <w:lang w:val="en-US" w:eastAsia="zh-CN"/>
        </w:rPr>
        <w:t>13</w:t>
      </w:r>
      <w:r>
        <w:fldChar w:fldCharType="end"/>
      </w:r>
      <w: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val="en-US" w:eastAsia="zh-CN"/>
        </w:rPr>
        <w:t>14</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14</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val="en-US" w:eastAsia="zh-CN"/>
        </w:rPr>
        <w:t>14</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val="en-US" w:eastAsia="zh-CN"/>
        </w:rPr>
        <w:t>18</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val="en-US" w:eastAsia="zh-CN"/>
        </w:rPr>
        <w:t>18</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val="en-US" w:eastAsia="zh-CN"/>
        </w:rPr>
        <w:t>19</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val="en-US" w:eastAsia="zh-CN"/>
        </w:rPr>
        <w:t>20</w:t>
      </w:r>
      <w:r>
        <w:fldChar w:fldCharType="end"/>
      </w:r>
    </w:p>
    <w:p>
      <w:r>
        <w:fldChar w:fldCharType="end"/>
      </w:r>
    </w:p>
    <w:p>
      <w:r>
        <w:br w:type="page"/>
      </w:r>
    </w:p>
    <w:p>
      <w:pPr>
        <w:sectPr>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三十七、霸州市岔河集乡西高小学收支预算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501515霸州市岔河集乡西高小学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383.63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383.63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383.63</w:t>
            </w:r>
          </w:p>
        </w:tc>
        <w:tc>
          <w:tcPr>
            <w:tcW w:w="4535" w:type="dxa"/>
            <w:vAlign w:val="center"/>
          </w:tcPr>
          <w:p>
            <w:pPr>
              <w:pStyle w:val="24"/>
            </w:pPr>
            <w:r>
              <w:t>本年支出合计</w:t>
            </w:r>
          </w:p>
        </w:tc>
        <w:tc>
          <w:tcPr>
            <w:tcW w:w="2126" w:type="dxa"/>
            <w:vAlign w:val="center"/>
          </w:tcPr>
          <w:p>
            <w:pPr>
              <w:pStyle w:val="25"/>
            </w:pPr>
            <w:r>
              <w:t>383.63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383.63</w:t>
            </w:r>
          </w:p>
        </w:tc>
        <w:tc>
          <w:tcPr>
            <w:tcW w:w="4535" w:type="dxa"/>
            <w:vAlign w:val="center"/>
          </w:tcPr>
          <w:p>
            <w:pPr>
              <w:pStyle w:val="24"/>
            </w:pPr>
            <w:r>
              <w:t>支出总计</w:t>
            </w:r>
          </w:p>
        </w:tc>
        <w:tc>
          <w:tcPr>
            <w:tcW w:w="2126" w:type="dxa"/>
            <w:vAlign w:val="center"/>
          </w:tcPr>
          <w:p>
            <w:pPr>
              <w:pStyle w:val="25"/>
            </w:pPr>
            <w:r>
              <w:t>383.63</w:t>
            </w:r>
          </w:p>
        </w:tc>
      </w:tr>
    </w:tbl>
    <w:p>
      <w:pPr>
        <w:sectPr>
          <w:footerReference r:id="rId3" w:type="default"/>
          <w:footerReference r:id="rId4" w:type="even"/>
          <w:pgSz w:w="16840" w:h="11900" w:orient="landscape"/>
          <w:pgMar w:top="1361" w:right="1021" w:bottom="1134" w:left="1021"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501515霸州市岔河集乡西高小学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383.63</w:t>
            </w:r>
          </w:p>
        </w:tc>
        <w:tc>
          <w:tcPr>
            <w:tcW w:w="1134" w:type="dxa"/>
            <w:vAlign w:val="center"/>
          </w:tcPr>
          <w:p>
            <w:pPr>
              <w:pStyle w:val="25"/>
            </w:pPr>
            <w:r>
              <w:t>383.63</w:t>
            </w:r>
          </w:p>
        </w:tc>
        <w:tc>
          <w:tcPr>
            <w:tcW w:w="1134" w:type="dxa"/>
            <w:vAlign w:val="center"/>
          </w:tcPr>
          <w:p>
            <w:pPr>
              <w:pStyle w:val="25"/>
            </w:pPr>
            <w:r>
              <w:t>383.63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383.63</w:t>
            </w:r>
          </w:p>
        </w:tc>
        <w:tc>
          <w:tcPr>
            <w:tcW w:w="1134" w:type="dxa"/>
            <w:vAlign w:val="center"/>
          </w:tcPr>
          <w:p>
            <w:pPr>
              <w:pStyle w:val="21"/>
            </w:pPr>
            <w:r>
              <w:t>383.63</w:t>
            </w:r>
          </w:p>
        </w:tc>
        <w:tc>
          <w:tcPr>
            <w:tcW w:w="1134" w:type="dxa"/>
            <w:vAlign w:val="center"/>
          </w:tcPr>
          <w:p>
            <w:pPr>
              <w:pStyle w:val="21"/>
            </w:pPr>
            <w:r>
              <w:t>383.63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383.63</w:t>
            </w:r>
          </w:p>
        </w:tc>
        <w:tc>
          <w:tcPr>
            <w:tcW w:w="1134" w:type="dxa"/>
            <w:vAlign w:val="center"/>
          </w:tcPr>
          <w:p>
            <w:pPr>
              <w:pStyle w:val="21"/>
            </w:pPr>
            <w:r>
              <w:t>383.63</w:t>
            </w:r>
          </w:p>
        </w:tc>
        <w:tc>
          <w:tcPr>
            <w:tcW w:w="1134" w:type="dxa"/>
            <w:vAlign w:val="center"/>
          </w:tcPr>
          <w:p>
            <w:pPr>
              <w:pStyle w:val="21"/>
            </w:pPr>
            <w:r>
              <w:t>383.63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383.63</w:t>
            </w:r>
          </w:p>
        </w:tc>
        <w:tc>
          <w:tcPr>
            <w:tcW w:w="1134" w:type="dxa"/>
            <w:vAlign w:val="center"/>
          </w:tcPr>
          <w:p>
            <w:pPr>
              <w:pStyle w:val="21"/>
            </w:pPr>
            <w:r>
              <w:t>383.63</w:t>
            </w:r>
          </w:p>
        </w:tc>
        <w:tc>
          <w:tcPr>
            <w:tcW w:w="1134" w:type="dxa"/>
            <w:vAlign w:val="center"/>
          </w:tcPr>
          <w:p>
            <w:pPr>
              <w:pStyle w:val="21"/>
            </w:pPr>
            <w:r>
              <w:t>383.63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501515霸州市岔河集乡西高小学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383.63</w:t>
            </w:r>
          </w:p>
        </w:tc>
        <w:tc>
          <w:tcPr>
            <w:tcW w:w="1361" w:type="dxa"/>
            <w:vAlign w:val="center"/>
          </w:tcPr>
          <w:p>
            <w:pPr>
              <w:pStyle w:val="25"/>
            </w:pPr>
            <w:r>
              <w:t>371.42</w:t>
            </w:r>
          </w:p>
        </w:tc>
        <w:tc>
          <w:tcPr>
            <w:tcW w:w="1361" w:type="dxa"/>
            <w:vAlign w:val="center"/>
          </w:tcPr>
          <w:p>
            <w:pPr>
              <w:pStyle w:val="25"/>
            </w:pPr>
            <w:r>
              <w:t>12.21</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383.63</w:t>
            </w:r>
          </w:p>
        </w:tc>
        <w:tc>
          <w:tcPr>
            <w:tcW w:w="1361" w:type="dxa"/>
            <w:vAlign w:val="center"/>
          </w:tcPr>
          <w:p>
            <w:pPr>
              <w:pStyle w:val="21"/>
            </w:pPr>
            <w:r>
              <w:t>371.42</w:t>
            </w:r>
          </w:p>
        </w:tc>
        <w:tc>
          <w:tcPr>
            <w:tcW w:w="1361" w:type="dxa"/>
            <w:vAlign w:val="center"/>
          </w:tcPr>
          <w:p>
            <w:pPr>
              <w:pStyle w:val="21"/>
            </w:pPr>
            <w:r>
              <w:t>12.21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383.63</w:t>
            </w:r>
          </w:p>
        </w:tc>
        <w:tc>
          <w:tcPr>
            <w:tcW w:w="1361" w:type="dxa"/>
            <w:vAlign w:val="center"/>
          </w:tcPr>
          <w:p>
            <w:pPr>
              <w:pStyle w:val="21"/>
            </w:pPr>
            <w:r>
              <w:t>371.42</w:t>
            </w:r>
          </w:p>
        </w:tc>
        <w:tc>
          <w:tcPr>
            <w:tcW w:w="1361" w:type="dxa"/>
            <w:vAlign w:val="center"/>
          </w:tcPr>
          <w:p>
            <w:pPr>
              <w:pStyle w:val="21"/>
            </w:pPr>
            <w:r>
              <w:t>12.21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383.63</w:t>
            </w:r>
          </w:p>
        </w:tc>
        <w:tc>
          <w:tcPr>
            <w:tcW w:w="1361" w:type="dxa"/>
            <w:vAlign w:val="center"/>
          </w:tcPr>
          <w:p>
            <w:pPr>
              <w:pStyle w:val="21"/>
            </w:pPr>
            <w:r>
              <w:t>371.42</w:t>
            </w:r>
          </w:p>
        </w:tc>
        <w:tc>
          <w:tcPr>
            <w:tcW w:w="1361" w:type="dxa"/>
            <w:vAlign w:val="center"/>
          </w:tcPr>
          <w:p>
            <w:pPr>
              <w:pStyle w:val="21"/>
            </w:pPr>
            <w:r>
              <w:t>12.21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501515霸州市岔河集乡西高小学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383.63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383.63</w:t>
            </w:r>
          </w:p>
        </w:tc>
        <w:tc>
          <w:tcPr>
            <w:tcW w:w="1474" w:type="dxa"/>
            <w:vAlign w:val="center"/>
          </w:tcPr>
          <w:p>
            <w:pPr>
              <w:pStyle w:val="21"/>
            </w:pPr>
            <w:r>
              <w:t>383.63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383.63</w:t>
            </w:r>
          </w:p>
        </w:tc>
        <w:tc>
          <w:tcPr>
            <w:tcW w:w="3402" w:type="dxa"/>
            <w:vAlign w:val="center"/>
          </w:tcPr>
          <w:p>
            <w:pPr>
              <w:pStyle w:val="24"/>
            </w:pPr>
            <w:r>
              <w:t>本年支出合计</w:t>
            </w:r>
          </w:p>
        </w:tc>
        <w:tc>
          <w:tcPr>
            <w:tcW w:w="1474" w:type="dxa"/>
            <w:vAlign w:val="center"/>
          </w:tcPr>
          <w:p>
            <w:pPr>
              <w:pStyle w:val="25"/>
            </w:pPr>
            <w:r>
              <w:t>383.63</w:t>
            </w:r>
          </w:p>
        </w:tc>
        <w:tc>
          <w:tcPr>
            <w:tcW w:w="1474" w:type="dxa"/>
            <w:vAlign w:val="center"/>
          </w:tcPr>
          <w:p>
            <w:pPr>
              <w:pStyle w:val="25"/>
            </w:pPr>
            <w:r>
              <w:t>383.63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383.63</w:t>
            </w:r>
          </w:p>
        </w:tc>
        <w:tc>
          <w:tcPr>
            <w:tcW w:w="3402" w:type="dxa"/>
            <w:vAlign w:val="center"/>
          </w:tcPr>
          <w:p>
            <w:pPr>
              <w:pStyle w:val="24"/>
            </w:pPr>
            <w:r>
              <w:t>支出总计</w:t>
            </w:r>
          </w:p>
        </w:tc>
        <w:tc>
          <w:tcPr>
            <w:tcW w:w="1474" w:type="dxa"/>
            <w:vAlign w:val="center"/>
          </w:tcPr>
          <w:p>
            <w:pPr>
              <w:pStyle w:val="25"/>
            </w:pPr>
            <w:r>
              <w:t>383.63</w:t>
            </w:r>
          </w:p>
        </w:tc>
        <w:tc>
          <w:tcPr>
            <w:tcW w:w="1474" w:type="dxa"/>
            <w:vAlign w:val="center"/>
          </w:tcPr>
          <w:p>
            <w:pPr>
              <w:pStyle w:val="25"/>
            </w:pPr>
            <w:r>
              <w:t>383.63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501515霸州市岔河集乡西高小学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383.63</w:t>
            </w:r>
          </w:p>
        </w:tc>
        <w:tc>
          <w:tcPr>
            <w:tcW w:w="2551" w:type="dxa"/>
            <w:vAlign w:val="center"/>
          </w:tcPr>
          <w:p>
            <w:pPr>
              <w:pStyle w:val="25"/>
            </w:pPr>
            <w:r>
              <w:t>371.42</w:t>
            </w:r>
          </w:p>
        </w:tc>
        <w:tc>
          <w:tcPr>
            <w:tcW w:w="2551" w:type="dxa"/>
            <w:vAlign w:val="center"/>
          </w:tcPr>
          <w:p>
            <w:pPr>
              <w:pStyle w:val="25"/>
            </w:pPr>
            <w:r>
              <w:t>12.21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383.63</w:t>
            </w:r>
          </w:p>
        </w:tc>
        <w:tc>
          <w:tcPr>
            <w:tcW w:w="2551" w:type="dxa"/>
            <w:vAlign w:val="center"/>
          </w:tcPr>
          <w:p>
            <w:pPr>
              <w:pStyle w:val="21"/>
            </w:pPr>
            <w:r>
              <w:t>371.42</w:t>
            </w:r>
          </w:p>
        </w:tc>
        <w:tc>
          <w:tcPr>
            <w:tcW w:w="2551" w:type="dxa"/>
            <w:vAlign w:val="center"/>
          </w:tcPr>
          <w:p>
            <w:pPr>
              <w:pStyle w:val="21"/>
            </w:pPr>
            <w:r>
              <w:t>12.21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383.63</w:t>
            </w:r>
          </w:p>
        </w:tc>
        <w:tc>
          <w:tcPr>
            <w:tcW w:w="2551" w:type="dxa"/>
            <w:vAlign w:val="center"/>
          </w:tcPr>
          <w:p>
            <w:pPr>
              <w:pStyle w:val="21"/>
            </w:pPr>
            <w:r>
              <w:t>371.42</w:t>
            </w:r>
          </w:p>
        </w:tc>
        <w:tc>
          <w:tcPr>
            <w:tcW w:w="2551" w:type="dxa"/>
            <w:vAlign w:val="center"/>
          </w:tcPr>
          <w:p>
            <w:pPr>
              <w:pStyle w:val="21"/>
            </w:pPr>
            <w:r>
              <w:t>12.21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383.63</w:t>
            </w:r>
          </w:p>
        </w:tc>
        <w:tc>
          <w:tcPr>
            <w:tcW w:w="2551" w:type="dxa"/>
            <w:vAlign w:val="center"/>
          </w:tcPr>
          <w:p>
            <w:pPr>
              <w:pStyle w:val="21"/>
            </w:pPr>
            <w:r>
              <w:t>371.42</w:t>
            </w:r>
          </w:p>
        </w:tc>
        <w:tc>
          <w:tcPr>
            <w:tcW w:w="2551" w:type="dxa"/>
            <w:vAlign w:val="center"/>
          </w:tcPr>
          <w:p>
            <w:pPr>
              <w:pStyle w:val="21"/>
            </w:pPr>
            <w:r>
              <w:t>12.21</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501515霸州市岔河集乡西高小学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371.42</w:t>
            </w:r>
          </w:p>
        </w:tc>
        <w:tc>
          <w:tcPr>
            <w:tcW w:w="2551" w:type="dxa"/>
            <w:vAlign w:val="center"/>
          </w:tcPr>
          <w:p>
            <w:pPr>
              <w:pStyle w:val="25"/>
            </w:pPr>
            <w:r>
              <w:t>366.00</w:t>
            </w:r>
          </w:p>
        </w:tc>
        <w:tc>
          <w:tcPr>
            <w:tcW w:w="2551" w:type="dxa"/>
            <w:vAlign w:val="center"/>
          </w:tcPr>
          <w:p>
            <w:pPr>
              <w:pStyle w:val="25"/>
            </w:pPr>
            <w: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312.82</w:t>
            </w:r>
          </w:p>
        </w:tc>
        <w:tc>
          <w:tcPr>
            <w:tcW w:w="2551" w:type="dxa"/>
            <w:vAlign w:val="center"/>
          </w:tcPr>
          <w:p>
            <w:pPr>
              <w:pStyle w:val="21"/>
            </w:pPr>
            <w:r>
              <w:t>312.82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94.48</w:t>
            </w:r>
          </w:p>
        </w:tc>
        <w:tc>
          <w:tcPr>
            <w:tcW w:w="2551" w:type="dxa"/>
            <w:vAlign w:val="center"/>
          </w:tcPr>
          <w:p>
            <w:pPr>
              <w:pStyle w:val="21"/>
            </w:pPr>
            <w:r>
              <w:t>94.48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21.93</w:t>
            </w:r>
          </w:p>
        </w:tc>
        <w:tc>
          <w:tcPr>
            <w:tcW w:w="2551" w:type="dxa"/>
            <w:vAlign w:val="center"/>
          </w:tcPr>
          <w:p>
            <w:pPr>
              <w:pStyle w:val="21"/>
            </w:pPr>
            <w:r>
              <w:t>21.93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125.34</w:t>
            </w:r>
          </w:p>
        </w:tc>
        <w:tc>
          <w:tcPr>
            <w:tcW w:w="2551" w:type="dxa"/>
            <w:vAlign w:val="center"/>
          </w:tcPr>
          <w:p>
            <w:pPr>
              <w:pStyle w:val="21"/>
            </w:pPr>
            <w:r>
              <w:t>125.34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29.79</w:t>
            </w:r>
          </w:p>
        </w:tc>
        <w:tc>
          <w:tcPr>
            <w:tcW w:w="2551" w:type="dxa"/>
            <w:vAlign w:val="center"/>
          </w:tcPr>
          <w:p>
            <w:pPr>
              <w:pStyle w:val="21"/>
            </w:pPr>
            <w:r>
              <w:t>29.79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6.17</w:t>
            </w:r>
          </w:p>
        </w:tc>
        <w:tc>
          <w:tcPr>
            <w:tcW w:w="2551" w:type="dxa"/>
            <w:vAlign w:val="center"/>
          </w:tcPr>
          <w:p>
            <w:pPr>
              <w:pStyle w:val="21"/>
            </w:pPr>
            <w:r>
              <w:t>6.17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8.69</w:t>
            </w:r>
          </w:p>
        </w:tc>
        <w:tc>
          <w:tcPr>
            <w:tcW w:w="2551" w:type="dxa"/>
            <w:vAlign w:val="center"/>
          </w:tcPr>
          <w:p>
            <w:pPr>
              <w:pStyle w:val="21"/>
            </w:pPr>
            <w:r>
              <w:t>8.69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2.14</w:t>
            </w:r>
          </w:p>
        </w:tc>
        <w:tc>
          <w:tcPr>
            <w:tcW w:w="2551" w:type="dxa"/>
            <w:vAlign w:val="center"/>
          </w:tcPr>
          <w:p>
            <w:pPr>
              <w:pStyle w:val="21"/>
            </w:pPr>
            <w:r>
              <w:t>2.14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24.28</w:t>
            </w:r>
          </w:p>
        </w:tc>
        <w:tc>
          <w:tcPr>
            <w:tcW w:w="2551" w:type="dxa"/>
            <w:vAlign w:val="center"/>
          </w:tcPr>
          <w:p>
            <w:pPr>
              <w:pStyle w:val="21"/>
            </w:pPr>
            <w:r>
              <w:t>24.28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5.42</w:t>
            </w:r>
          </w:p>
        </w:tc>
        <w:tc>
          <w:tcPr>
            <w:tcW w:w="2551" w:type="dxa"/>
            <w:vAlign w:val="center"/>
          </w:tcPr>
          <w:p>
            <w:pPr>
              <w:pStyle w:val="21"/>
            </w:pPr>
          </w:p>
        </w:tc>
        <w:tc>
          <w:tcPr>
            <w:tcW w:w="2551" w:type="dxa"/>
            <w:vAlign w:val="center"/>
          </w:tcPr>
          <w:p>
            <w:pPr>
              <w:pStyle w:val="21"/>
            </w:pPr>
            <w:r>
              <w:t>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3.05</w:t>
            </w:r>
          </w:p>
        </w:tc>
        <w:tc>
          <w:tcPr>
            <w:tcW w:w="2551" w:type="dxa"/>
            <w:vAlign w:val="center"/>
          </w:tcPr>
          <w:p>
            <w:pPr>
              <w:pStyle w:val="21"/>
            </w:pPr>
          </w:p>
        </w:tc>
        <w:tc>
          <w:tcPr>
            <w:tcW w:w="2551" w:type="dxa"/>
            <w:vAlign w:val="center"/>
          </w:tcPr>
          <w:p>
            <w:pPr>
              <w:pStyle w:val="21"/>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2.37</w:t>
            </w:r>
          </w:p>
        </w:tc>
        <w:tc>
          <w:tcPr>
            <w:tcW w:w="2551" w:type="dxa"/>
            <w:vAlign w:val="center"/>
          </w:tcPr>
          <w:p>
            <w:pPr>
              <w:pStyle w:val="21"/>
            </w:pPr>
          </w:p>
        </w:tc>
        <w:tc>
          <w:tcPr>
            <w:tcW w:w="2551" w:type="dxa"/>
            <w:vAlign w:val="center"/>
          </w:tcPr>
          <w:p>
            <w:pPr>
              <w:pStyle w:val="21"/>
            </w:pPr>
            <w:r>
              <w:t>2.37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53.18</w:t>
            </w:r>
          </w:p>
        </w:tc>
        <w:tc>
          <w:tcPr>
            <w:tcW w:w="2551" w:type="dxa"/>
            <w:vAlign w:val="center"/>
          </w:tcPr>
          <w:p>
            <w:pPr>
              <w:pStyle w:val="21"/>
            </w:pPr>
            <w:r>
              <w:t>53.18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32.83</w:t>
            </w:r>
          </w:p>
        </w:tc>
        <w:tc>
          <w:tcPr>
            <w:tcW w:w="2551" w:type="dxa"/>
            <w:vAlign w:val="center"/>
          </w:tcPr>
          <w:p>
            <w:pPr>
              <w:pStyle w:val="21"/>
            </w:pPr>
            <w:r>
              <w:t>32.83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19.52</w:t>
            </w:r>
          </w:p>
        </w:tc>
        <w:tc>
          <w:tcPr>
            <w:tcW w:w="2551" w:type="dxa"/>
            <w:vAlign w:val="center"/>
          </w:tcPr>
          <w:p>
            <w:pPr>
              <w:pStyle w:val="21"/>
            </w:pPr>
            <w:r>
              <w:t>19.52</w:t>
            </w:r>
          </w:p>
        </w:tc>
        <w:tc>
          <w:tcPr>
            <w:tcW w:w="255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501515霸州市岔河集乡西高小学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501515霸州市岔河集乡西高小学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501515霸州市岔河集乡西高小学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ascii="方正书宋_GBK" w:hAnsi="方正书宋_GBK" w:eastAsia="方正书宋_GBK" w:cs="方正书宋_GBK"/>
                <w:kern w:val="0"/>
                <w:sz w:val="21"/>
                <w:szCs w:val="24"/>
                <w:lang w:val="en-US" w:eastAsia="uk-UA" w:bidi="ar-SA"/>
              </w:rPr>
            </w:pPr>
            <w:r>
              <w:t>1</w:t>
            </w:r>
          </w:p>
        </w:tc>
        <w:tc>
          <w:tcPr>
            <w:tcW w:w="3798" w:type="dxa"/>
            <w:vAlign w:val="center"/>
          </w:tcPr>
          <w:p>
            <w:pPr>
              <w:pStyle w:val="24"/>
              <w:rPr>
                <w:rFonts w:ascii="方正书宋_GBK" w:hAnsi="方正书宋_GBK" w:eastAsia="方正书宋_GBK" w:cs="方正书宋_GBK"/>
                <w:b/>
                <w:kern w:val="0"/>
                <w:sz w:val="21"/>
                <w:szCs w:val="24"/>
                <w:lang w:val="en-US" w:eastAsia="uk-UA" w:bidi="ar-SA"/>
              </w:rPr>
            </w:pPr>
            <w:r>
              <w:t>合计</w:t>
            </w:r>
          </w:p>
        </w:tc>
        <w:tc>
          <w:tcPr>
            <w:tcW w:w="2382" w:type="dxa"/>
            <w:vAlign w:val="center"/>
          </w:tcPr>
          <w:p>
            <w:pPr>
              <w:pStyle w:val="25"/>
              <w:rPr>
                <w:rFonts w:ascii="方正书宋_GBK" w:hAnsi="方正书宋_GBK" w:eastAsia="方正书宋_GBK" w:cs="方正书宋_GBK"/>
                <w:b/>
                <w:kern w:val="0"/>
                <w:sz w:val="21"/>
                <w:szCs w:val="24"/>
                <w:lang w:val="en-US" w:eastAsia="uk-UA" w:bidi="ar-SA"/>
              </w:rPr>
            </w:pPr>
            <w:r>
              <w:t>0.00</w:t>
            </w:r>
          </w:p>
        </w:tc>
        <w:tc>
          <w:tcPr>
            <w:tcW w:w="2381" w:type="dxa"/>
            <w:vAlign w:val="center"/>
          </w:tcPr>
          <w:p>
            <w:pPr>
              <w:pStyle w:val="25"/>
              <w:rPr>
                <w:rFonts w:hint="eastAsia" w:ascii="方正书宋_GBK" w:hAnsi="方正书宋_GBK" w:eastAsia="方正书宋_GBK" w:cs="方正书宋_GBK"/>
                <w:b/>
                <w:kern w:val="0"/>
                <w:sz w:val="21"/>
                <w:szCs w:val="24"/>
                <w:lang w:val="en-US" w:eastAsia="zh-CN" w:bidi="ar-SA"/>
              </w:rPr>
            </w:pPr>
            <w:r>
              <w:rPr>
                <w:rFonts w:hint="eastAsia"/>
                <w:lang w:eastAsia="zh-CN"/>
              </w:rPr>
              <w:t>0.00</w:t>
            </w: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c>
          <w:tcPr>
            <w:tcW w:w="2381" w:type="dxa"/>
            <w:vAlign w:val="center"/>
          </w:tcPr>
          <w:p>
            <w:pPr>
              <w:pStyle w:val="25"/>
              <w:rPr>
                <w:rFonts w:ascii="方正书宋_GBK" w:hAnsi="方正书宋_GBK" w:eastAsia="方正书宋_GBK" w:cs="方正书宋_GBK"/>
                <w:b/>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2</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一、因公出国（境）费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3</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其中：教学科研人员因公出国（境）费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4</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其他因公出国（境）费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5</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二、公务用车购置及运维费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6</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其中：公务用车购置费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7</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 xml:space="preserve">          公务用车运行维护费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0" w:type="auto"/>
            <w:vAlign w:val="center"/>
          </w:tcPr>
          <w:p>
            <w:pPr>
              <w:pStyle w:val="23"/>
              <w:rPr>
                <w:rFonts w:ascii="方正书宋_GBK" w:hAnsi="方正书宋_GBK" w:eastAsia="方正书宋_GBK" w:cs="方正书宋_GBK"/>
                <w:kern w:val="0"/>
                <w:sz w:val="21"/>
                <w:szCs w:val="24"/>
                <w:lang w:val="en-US" w:eastAsia="uk-UA" w:bidi="ar-SA"/>
              </w:rPr>
            </w:pPr>
            <w:r>
              <w:t>8</w:t>
            </w:r>
          </w:p>
        </w:tc>
        <w:tc>
          <w:tcPr>
            <w:tcW w:w="0" w:type="auto"/>
            <w:vAlign w:val="center"/>
          </w:tcPr>
          <w:p>
            <w:pPr>
              <w:pStyle w:val="22"/>
              <w:rPr>
                <w:rFonts w:ascii="方正书宋_GBK" w:hAnsi="方正书宋_GBK" w:eastAsia="方正书宋_GBK" w:cs="方正书宋_GBK"/>
                <w:kern w:val="0"/>
                <w:sz w:val="21"/>
                <w:szCs w:val="24"/>
                <w:lang w:val="en-US" w:eastAsia="uk-UA" w:bidi="ar-SA"/>
              </w:rPr>
            </w:pPr>
            <w:r>
              <w:t>三、公务接待费</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r>
              <w:t>0.00</w:t>
            </w: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c>
          <w:tcPr>
            <w:tcW w:w="0" w:type="auto"/>
            <w:vAlign w:val="center"/>
          </w:tcPr>
          <w:p>
            <w:pPr>
              <w:pStyle w:val="21"/>
              <w:rPr>
                <w:rFonts w:ascii="方正书宋_GBK" w:hAnsi="方正书宋_GBK" w:eastAsia="方正书宋_GBK" w:cs="方正书宋_GBK"/>
                <w:kern w:val="0"/>
                <w:sz w:val="21"/>
                <w:szCs w:val="24"/>
                <w:lang w:val="en-US" w:eastAsia="uk-UA" w:bidi="ar-SA"/>
              </w:rPr>
            </w:pPr>
          </w:p>
        </w:tc>
      </w:tr>
    </w:tbl>
    <w:p>
      <w:pPr>
        <w:ind w:firstLine="420"/>
        <w:sectPr>
          <w:pgSz w:w="16840" w:h="11900" w:orient="landscape"/>
          <w:pgMar w:top="1361" w:right="1020" w:bottom="1361" w:left="1020" w:header="720" w:footer="720" w:gutter="0"/>
          <w:pgNumType w:fmt="decimal"/>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霸州市岔河集乡西高小学2023年单位预算信息公开情况说明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按照《预算法》、《地方预决算公开操作规程》和《关于进一步推进预算公开工作的实施意见》规定，现将霸州市岔河集乡西高小学2023年单位预算公开如下：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1209" w:firstLineChars="432"/>
      </w:pPr>
      <w:r>
        <w:rPr>
          <w:rFonts w:hint="eastAsia" w:ascii="方正仿宋_GBK"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霸州市岔河集乡西高小学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t>383.63</w:t>
      </w:r>
      <w:r>
        <w:rPr>
          <w:rFonts w:hint="eastAsia" w:ascii="方正仿宋_GBK"/>
        </w:rPr>
        <w:t>万元，其中：一般公共预算收入</w:t>
      </w:r>
      <w:r>
        <w:t>383.63</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hint="eastAsia" w:ascii="方正仿宋_GBK"/>
        </w:rPr>
      </w:pPr>
      <w:r>
        <w:rPr>
          <w:rFonts w:hint="eastAsia" w:ascii="方正仿宋_GBK"/>
        </w:rPr>
        <w:t>收支预算总表支出栏、基本支出表、项目支出表按经济分类和支出功能分类科目编制，反映霸州市岔河集乡临北中心小学2023年度单位预算中支出预算的总体情况。2023年支出预算</w:t>
      </w:r>
      <w:r>
        <w:t>383.63</w:t>
      </w:r>
      <w:r>
        <w:rPr>
          <w:rFonts w:hint="eastAsia" w:ascii="方正仿宋_GBK"/>
        </w:rPr>
        <w:t>万元，其中：基本支出</w:t>
      </w:r>
      <w:r>
        <w:t>371.42</w:t>
      </w:r>
      <w:r>
        <w:rPr>
          <w:rFonts w:hint="eastAsia" w:ascii="方正仿宋_GBK"/>
        </w:rPr>
        <w:t>万元，包括人员经费</w:t>
      </w:r>
      <w:r>
        <w:t>366.00</w:t>
      </w:r>
      <w:r>
        <w:rPr>
          <w:rFonts w:hint="eastAsia" w:ascii="方正仿宋_GBK"/>
        </w:rPr>
        <w:t>万元和日常公用经费</w:t>
      </w:r>
      <w:r>
        <w:t>5.42</w:t>
      </w:r>
      <w:r>
        <w:rPr>
          <w:rFonts w:hint="eastAsia" w:ascii="方正仿宋_GBK"/>
        </w:rPr>
        <w:t>万元；项目支出</w:t>
      </w:r>
      <w:r>
        <w:t>12.21</w:t>
      </w:r>
      <w:r>
        <w:rPr>
          <w:rFonts w:hint="eastAsia" w:ascii="方正仿宋_GBK"/>
        </w:rPr>
        <w:t>万元，主要为：主要为小学教育和学前教育办公用品、电费、物业管理经费等支出。</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t>383.63</w:t>
      </w:r>
      <w:r>
        <w:rPr>
          <w:rFonts w:hint="eastAsia" w:ascii="方正仿宋_GBK"/>
        </w:rPr>
        <w:t>万元，较2022年预算增加</w:t>
      </w:r>
      <w:r>
        <w:rPr>
          <w:rFonts w:hint="eastAsia" w:ascii="方正仿宋_GBK"/>
          <w:lang w:val="en-US" w:eastAsia="zh-CN"/>
        </w:rPr>
        <w:t>24.41</w:t>
      </w:r>
      <w:r>
        <w:rPr>
          <w:rFonts w:hint="eastAsia" w:ascii="方正仿宋_GBK"/>
        </w:rPr>
        <w:t>万元，其中：基本支出增加</w:t>
      </w:r>
      <w:r>
        <w:rPr>
          <w:rFonts w:hint="eastAsia" w:ascii="方正仿宋_GBK"/>
          <w:lang w:val="en-US" w:eastAsia="zh-CN"/>
        </w:rPr>
        <w:t>44.2</w:t>
      </w:r>
      <w:r>
        <w:rPr>
          <w:rFonts w:hint="eastAsia" w:ascii="方正仿宋_GBK"/>
        </w:rPr>
        <w:t>万元，主要为</w:t>
      </w:r>
      <w:r>
        <w:rPr>
          <w:rFonts w:hint="eastAsia" w:ascii="方正仿宋_GBK"/>
          <w:lang w:eastAsia="zh-CN"/>
        </w:rPr>
        <w:t>人员经费</w:t>
      </w:r>
      <w:r>
        <w:rPr>
          <w:rFonts w:hint="eastAsia" w:ascii="方正仿宋_GBK"/>
        </w:rPr>
        <w:t>支出；项目支出</w:t>
      </w:r>
      <w:r>
        <w:rPr>
          <w:rFonts w:hint="eastAsia" w:ascii="方正仿宋_GBK"/>
          <w:lang w:val="en-US" w:eastAsia="zh-CN"/>
        </w:rPr>
        <w:t>减少19.99</w:t>
      </w:r>
      <w:r>
        <w:rPr>
          <w:rFonts w:hint="eastAsia" w:ascii="方正仿宋_GBK"/>
        </w:rPr>
        <w:t>万元，主要为</w:t>
      </w:r>
      <w:r>
        <w:rPr>
          <w:rFonts w:hint="eastAsia" w:ascii="方正仿宋_GBK"/>
          <w:lang w:eastAsia="zh-CN"/>
        </w:rPr>
        <w:t>小学教育、学前教育</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t>5.42</w:t>
      </w:r>
      <w:r>
        <w:rPr>
          <w:rFonts w:hint="eastAsia" w:ascii="方正仿宋_GBK"/>
        </w:rPr>
        <w:t>万元，主要用于</w:t>
      </w:r>
      <w:r>
        <w:rPr>
          <w:rFonts w:hint="eastAsia" w:ascii="方正仿宋_GBK"/>
          <w:lang w:eastAsia="zh-CN"/>
        </w:rPr>
        <w:t>工会经费、福利费、办公费</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lang w:val="en-US"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万元。其中：因公出国（境）费0万元；公务用车购置及运维费0万元（其中：公务用车购置费0万元，公务用车运行维护费0万元)；公务接待费0万元，较202</w:t>
      </w:r>
      <w:r>
        <w:rPr>
          <w:rFonts w:hint="eastAsia" w:ascii="方正仿宋_GBK"/>
          <w:lang w:eastAsia="zh-CN"/>
        </w:rPr>
        <w:t>2</w:t>
      </w:r>
      <w:r>
        <w:rPr>
          <w:rFonts w:hint="eastAsia" w:ascii="方正仿宋_GBK"/>
        </w:rPr>
        <w:t>年“三公”经费减少0万元，与202</w:t>
      </w:r>
      <w:r>
        <w:rPr>
          <w:rFonts w:hint="eastAsia" w:ascii="方正仿宋_GBK"/>
          <w:lang w:eastAsia="zh-CN"/>
        </w:rPr>
        <w:t>2</w:t>
      </w:r>
      <w:r>
        <w:rPr>
          <w:rFonts w:hint="eastAsia" w:ascii="方正仿宋_GBK"/>
        </w:rPr>
        <w:t>年持平，无增减变化。</w:t>
      </w:r>
      <w:bookmarkStart w:id="0" w:name="_GoBack"/>
      <w:bookmarkEnd w:id="0"/>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2023年，霸州市岔河集乡西高小学安排政府采购预算0.00万元。具体内容见下表。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501515霸州市岔河集乡西高小学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霸州市岔河集乡西高小学上年末固定资产金额为</w:t>
      </w:r>
      <w:r>
        <w:rPr>
          <w:rFonts w:hint="eastAsia" w:eastAsia="方正仿宋_GBK"/>
          <w:color w:val="000000"/>
          <w:sz w:val="28"/>
          <w:lang w:val="en-US" w:eastAsia="zh-CN"/>
        </w:rPr>
        <w:t>70.01</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w:t>
            </w:r>
            <w:r>
              <w:rPr>
                <w:rFonts w:hint="eastAsia"/>
                <w:lang w:val="en-US" w:eastAsia="zh-CN"/>
              </w:rPr>
              <w:t>15</w:t>
            </w:r>
            <w:r>
              <w:t>霸州市岔河集乡</w:t>
            </w:r>
            <w:r>
              <w:rPr>
                <w:rFonts w:hint="eastAsia"/>
                <w:lang w:val="en-US" w:eastAsia="zh-CN"/>
              </w:rPr>
              <w:t>西高</w:t>
            </w:r>
            <w:r>
              <w:t>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2835"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szCs w:val="24"/>
                <w:lang w:val="en-US" w:eastAsia="zh-CN" w:bidi="ar-SA"/>
              </w:rPr>
              <w:t>70.01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3、单价在50万元以上的设备</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0</w:t>
            </w:r>
          </w:p>
        </w:tc>
        <w:tc>
          <w:tcPr>
            <w:tcW w:w="2835" w:type="dxa"/>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209</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szCs w:val="24"/>
                <w:lang w:val="en-US" w:eastAsia="zh-CN" w:bidi="ar-SA"/>
              </w:rPr>
              <w:t>70.01</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f73f1a8f-02f4-4db5-af55-a07b8232ce67"/>
  </w:docVars>
  <w:rsids>
    <w:rsidRoot w:val="004A1168"/>
    <w:rsid w:val="00012A57"/>
    <w:rsid w:val="000B7353"/>
    <w:rsid w:val="00136014"/>
    <w:rsid w:val="001F67F8"/>
    <w:rsid w:val="002F010E"/>
    <w:rsid w:val="003A5231"/>
    <w:rsid w:val="003D654A"/>
    <w:rsid w:val="00464BFB"/>
    <w:rsid w:val="004A1168"/>
    <w:rsid w:val="005B7AFC"/>
    <w:rsid w:val="005E7A95"/>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47E44D6"/>
    <w:rsid w:val="11A436A1"/>
    <w:rsid w:val="1FA65036"/>
    <w:rsid w:val="24C206B9"/>
    <w:rsid w:val="2BFA7850"/>
    <w:rsid w:val="434D6012"/>
    <w:rsid w:val="659B07F2"/>
    <w:rsid w:val="785309C3"/>
    <w:rsid w:val="7ED32EFE"/>
    <w:rsid w:val="7F76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22</Pages>
  <Words>5361</Words>
  <Characters>6205</Characters>
  <Lines>63</Lines>
  <Paragraphs>17</Paragraphs>
  <TotalTime>2</TotalTime>
  <ScaleCrop>false</ScaleCrop>
  <LinksUpToDate>false</LinksUpToDate>
  <CharactersWithSpaces>6369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2023-02-28T09:28:43Z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71BA4B0B24F44E18B0894086BE19444D</vt:lpwstr>
  </property>
</Properties>
</file>